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2"/>
        <w:gridCol w:w="1257"/>
        <w:gridCol w:w="903"/>
        <w:gridCol w:w="224"/>
        <w:gridCol w:w="391"/>
        <w:gridCol w:w="313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首农食品集团南郊农场2020年景观生态林建设工程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北京南郊农业生产经营管理有限公司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李安琪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13439821159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根据北京市发展和改革委员会文件《关于批准首农食品集团南郊农场2020年景观生态林建设工程实施方案的函》（京发改（审）〔2020〕89号）的相关要求，建设好162.2亩景观生态林地，改善区域生态环境。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按照首农食品集团南郊农场2020年景观生态林建设工程的设计方案，新增造林162.2亩。主要建设内容包括新增常绿乔木688株、落叶乔木3531株、花灌木7575株，以及配套作业道等。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0" w:colLast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建设林木资源面积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162.2亩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162.2亩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种植林木棵树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11794株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11794株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树木存活率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达到北京地方标准，合格率达到90%以上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合格率98%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进一步规范树木栽植流程，保证树干树根不受损，提高养护水平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开工时间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2020/8/23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2020/8/23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竣工时间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2021/1/18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2021/1/18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建设经费标准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&lt;6万元/亩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5.5万元/亩，总成本893万元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促进林木生长，改善林分结构，生态环境得以改善。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经济效益不足，探索林下经济发展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职工及周边群众对建设效果满意程度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美化群众的生活区周边条件，提升北京周边空气质量，营造人与自然和谐的自然环境。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群众的生活区周边条件得以美化，提升了北京周边空气质量。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观赏性不足，对花草进行保护。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wZTliM2RjY2FkNDE2ZjY4ZDJkMTE2OWM4MmY0ODYifQ=="/>
  </w:docVars>
  <w:rsids>
    <w:rsidRoot w:val="4D5170EA"/>
    <w:rsid w:val="00112331"/>
    <w:rsid w:val="00353C89"/>
    <w:rsid w:val="004D5D1A"/>
    <w:rsid w:val="005A1627"/>
    <w:rsid w:val="007D2E4A"/>
    <w:rsid w:val="00AF3BF7"/>
    <w:rsid w:val="03D65FB8"/>
    <w:rsid w:val="04AB541D"/>
    <w:rsid w:val="066D46AC"/>
    <w:rsid w:val="07F82961"/>
    <w:rsid w:val="08707F57"/>
    <w:rsid w:val="09831C3A"/>
    <w:rsid w:val="0A2E22DB"/>
    <w:rsid w:val="0A9652E1"/>
    <w:rsid w:val="0ADC1FD8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807401F"/>
    <w:rsid w:val="45FD3F88"/>
    <w:rsid w:val="4D5170EA"/>
    <w:rsid w:val="4F213763"/>
    <w:rsid w:val="4F3E20C8"/>
    <w:rsid w:val="52B72148"/>
    <w:rsid w:val="52BC2005"/>
    <w:rsid w:val="5A3A6C18"/>
    <w:rsid w:val="5D6758EC"/>
    <w:rsid w:val="5DC64CF4"/>
    <w:rsid w:val="65DA4047"/>
    <w:rsid w:val="666B4725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1319</Characters>
  <Lines>10</Lines>
  <Paragraphs>3</Paragraphs>
  <TotalTime>3</TotalTime>
  <ScaleCrop>false</ScaleCrop>
  <LinksUpToDate>false</LinksUpToDate>
  <CharactersWithSpaces>1547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2023-05-16T09:01:00Z</dcterms:created>
  <dc:creator>付盈</dc:creator>
  <cp:lastModifiedBy>孙宏鑫</cp:lastModifiedBy>
  <dcterms:modified xsi:type="dcterms:W3CDTF">2023-05-16T09:16:10Z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AAF9981B11244DF09DE177C3108622BD</vt:lpwstr>
  </property>
</Properties>
</file>